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B6" w:rsidRDefault="003C06B6" w:rsidP="003C06B6">
      <w:pPr>
        <w:rPr>
          <w:color w:val="1F497D"/>
        </w:rPr>
      </w:pPr>
      <w:r>
        <w:rPr>
          <w:color w:val="1F497D"/>
        </w:rPr>
        <w:t xml:space="preserve"> </w:t>
      </w: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A</w:t>
      </w:r>
      <w:r>
        <w:rPr>
          <w:rFonts w:ascii="NewCenturySchlbk-Bold" w:hAnsi="NewCenturySchlbk-Bold" w:cs="NewCenturySchlbk-Bold"/>
          <w:b/>
          <w:bCs/>
          <w:color w:val="000000"/>
        </w:rPr>
        <w:t xml:space="preserve">MENDMENT IN THE </w:t>
      </w: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N</w:t>
      </w:r>
      <w:r>
        <w:rPr>
          <w:rFonts w:ascii="NewCenturySchlbk-Bold" w:hAnsi="NewCenturySchlbk-Bold" w:cs="NewCenturySchlbk-Bold"/>
          <w:b/>
          <w:bCs/>
          <w:color w:val="000000"/>
        </w:rPr>
        <w:t xml:space="preserve">ATURE OF A </w:t>
      </w: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S</w:t>
      </w:r>
      <w:r>
        <w:rPr>
          <w:rFonts w:ascii="NewCenturySchlbk-Bold" w:hAnsi="NewCenturySchlbk-Bold" w:cs="NewCenturySchlbk-Bold"/>
          <w:b/>
          <w:bCs/>
          <w:color w:val="000000"/>
        </w:rPr>
        <w:t xml:space="preserve">UBSTITUTE TO </w:t>
      </w: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H.R. 1660</w:t>
      </w: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O</w:t>
      </w:r>
      <w:r>
        <w:rPr>
          <w:rFonts w:ascii="NewCenturySchlbk-Bold" w:hAnsi="NewCenturySchlbk-Bold" w:cs="NewCenturySchlbk-Bold"/>
          <w:b/>
          <w:bCs/>
          <w:color w:val="000000"/>
        </w:rPr>
        <w:t>FFERED BY</w:t>
      </w:r>
      <w:r w:rsidR="004B4A4F">
        <w:rPr>
          <w:rFonts w:ascii="NewCenturySchlbk-Bold" w:hAnsi="NewCenturySchlbk-Bold" w:cs="NewCenturySchlbk-Bold"/>
          <w:b/>
          <w:bCs/>
          <w:color w:val="000000"/>
        </w:rPr>
        <w:t xml:space="preserve"> MR. ISSA.</w:t>
      </w:r>
      <w:proofErr w:type="gramEnd"/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Strike all after the enacting clause and insert the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proofErr w:type="gramStart"/>
      <w:r>
        <w:rPr>
          <w:rFonts w:ascii="DeVinne" w:hAnsi="DeVinne" w:cs="DeVinne"/>
          <w:color w:val="000000"/>
          <w:sz w:val="28"/>
          <w:szCs w:val="28"/>
        </w:rPr>
        <w:t>following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>:</w:t>
      </w:r>
    </w:p>
    <w:p w:rsidR="003C06B6" w:rsidRDefault="003C06B6" w:rsidP="003C06B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SECTION 1.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SHORT TITLE.</w:t>
      </w:r>
      <w:proofErr w:type="gramEnd"/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This Act may be cited as the ‘‘Government Customer Service Improvement Act of 2013’’.</w:t>
      </w: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2.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DEFINITIONS.</w:t>
      </w:r>
      <w:proofErr w:type="gramEnd"/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In this Act: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(1) A</w:t>
      </w:r>
      <w:r>
        <w:rPr>
          <w:rFonts w:ascii="DeVinne" w:hAnsi="DeVinne" w:cs="DeVinne"/>
          <w:color w:val="000000"/>
          <w:sz w:val="21"/>
          <w:szCs w:val="21"/>
        </w:rPr>
        <w:t>GENCY</w:t>
      </w:r>
      <w:r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term ‘‘agency’’—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 xml:space="preserve">(A)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means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an Executive agency (as defined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under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section 105 of title 5, United States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Code) that provides significant services directly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to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the public or other entity; and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 xml:space="preserve">(B)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does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not include an Executive agency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if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the President determines that this Act should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not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apply to the Executive agency for national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security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reasons.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(2) C</w:t>
      </w:r>
      <w:r>
        <w:rPr>
          <w:rFonts w:ascii="DeVinne" w:hAnsi="DeVinne" w:cs="DeVinne"/>
          <w:color w:val="000000"/>
          <w:sz w:val="21"/>
          <w:szCs w:val="21"/>
        </w:rPr>
        <w:t>USTOMER</w:t>
      </w:r>
      <w:r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term ‘‘customer’’, with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respect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to an agency, means any individual or entity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that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is directly served by an agency.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3.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DEVELOPMENT OF CUSTOMER SERVICE STANDARDS.</w:t>
      </w:r>
      <w:proofErr w:type="gramEnd"/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  <w:t>(a) G</w:t>
      </w:r>
      <w:r>
        <w:rPr>
          <w:rFonts w:ascii="DeVinne" w:hAnsi="DeVinne" w:cs="DeVinne"/>
          <w:color w:val="000000"/>
          <w:sz w:val="21"/>
          <w:szCs w:val="21"/>
        </w:rPr>
        <w:t>OVERNMENT</w:t>
      </w:r>
      <w:r>
        <w:rPr>
          <w:rFonts w:ascii="DeVinne" w:hAnsi="DeVinne" w:cs="DeVinne"/>
          <w:color w:val="000000"/>
          <w:sz w:val="28"/>
          <w:szCs w:val="28"/>
        </w:rPr>
        <w:t>-W</w:t>
      </w:r>
      <w:r>
        <w:rPr>
          <w:rFonts w:ascii="DeVinne" w:hAnsi="DeVinne" w:cs="DeVinne"/>
          <w:color w:val="000000"/>
          <w:sz w:val="21"/>
          <w:szCs w:val="21"/>
        </w:rPr>
        <w:t xml:space="preserve">IDE </w:t>
      </w:r>
      <w:r>
        <w:rPr>
          <w:rFonts w:ascii="DeVinne" w:hAnsi="DeVinne" w:cs="DeVinne"/>
          <w:color w:val="000000"/>
          <w:sz w:val="28"/>
          <w:szCs w:val="28"/>
        </w:rPr>
        <w:t>S</w:t>
      </w:r>
      <w:r>
        <w:rPr>
          <w:rFonts w:ascii="DeVinne" w:hAnsi="DeVinne" w:cs="DeVinne"/>
          <w:color w:val="000000"/>
          <w:sz w:val="21"/>
          <w:szCs w:val="21"/>
        </w:rPr>
        <w:t>TANDARDS</w:t>
      </w:r>
      <w:r>
        <w:rPr>
          <w:rFonts w:ascii="DeVinne" w:hAnsi="DeVinne" w:cs="DeVinne"/>
          <w:color w:val="000000"/>
          <w:sz w:val="28"/>
          <w:szCs w:val="28"/>
        </w:rPr>
        <w:t>.—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(1) I</w:t>
      </w:r>
      <w:r>
        <w:rPr>
          <w:rFonts w:ascii="DeVinne" w:hAnsi="DeVinne" w:cs="DeVinne"/>
          <w:color w:val="000000"/>
          <w:sz w:val="21"/>
          <w:szCs w:val="21"/>
        </w:rPr>
        <w:t>N GENERAL</w:t>
      </w:r>
      <w:r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Director of the Office of</w:t>
      </w:r>
    </w:p>
    <w:p w:rsidR="003C06B6" w:rsidRDefault="003C06B6" w:rsidP="003C06B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Management and Budget shall develop Government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wide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standards for customer service delivery, which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shall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be included in the Federal Government Performance Plan </w:t>
      </w:r>
      <w:r>
        <w:rPr>
          <w:rFonts w:ascii="DeVinne" w:hAnsi="DeVinne" w:cs="DeVinne"/>
          <w:color w:val="000000"/>
          <w:sz w:val="28"/>
          <w:szCs w:val="28"/>
        </w:rPr>
        <w:tab/>
        <w:t>required under section 1115 of title 31, United States Code.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(2) R</w:t>
      </w:r>
      <w:r>
        <w:rPr>
          <w:rFonts w:ascii="DeVinne" w:hAnsi="DeVinne" w:cs="DeVinne"/>
          <w:color w:val="000000"/>
          <w:sz w:val="21"/>
          <w:szCs w:val="21"/>
        </w:rPr>
        <w:t>EQUIREMENTS</w:t>
      </w:r>
      <w:r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standards developed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under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paragraph (1) shall include—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(A) Government-wide goals for continuous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service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improvements and efforts to modernize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service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delivery; and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(B)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where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appropriate, Government-wide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target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response times for telephone calls, electronic mail, 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mail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>, benefit processing, and payments.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lastRenderedPageBreak/>
        <w:tab/>
        <w:t>(b) A</w:t>
      </w:r>
      <w:r>
        <w:rPr>
          <w:rFonts w:ascii="DeVinne" w:hAnsi="DeVinne" w:cs="DeVinne"/>
          <w:color w:val="000000"/>
          <w:sz w:val="21"/>
          <w:szCs w:val="21"/>
        </w:rPr>
        <w:t xml:space="preserve">GENCY </w:t>
      </w:r>
      <w:r>
        <w:rPr>
          <w:rFonts w:ascii="DeVinne" w:hAnsi="DeVinne" w:cs="DeVinne"/>
          <w:color w:val="000000"/>
          <w:sz w:val="28"/>
          <w:szCs w:val="28"/>
        </w:rPr>
        <w:t>S</w:t>
      </w:r>
      <w:r>
        <w:rPr>
          <w:rFonts w:ascii="DeVinne" w:hAnsi="DeVinne" w:cs="DeVinne"/>
          <w:color w:val="000000"/>
          <w:sz w:val="21"/>
          <w:szCs w:val="21"/>
        </w:rPr>
        <w:t>TANDARDS</w:t>
      </w:r>
      <w:r>
        <w:rPr>
          <w:rFonts w:ascii="DeVinne" w:hAnsi="DeVinne" w:cs="DeVinne"/>
          <w:color w:val="000000"/>
          <w:sz w:val="28"/>
          <w:szCs w:val="28"/>
        </w:rPr>
        <w:t>.—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(1) I</w:t>
      </w:r>
      <w:r>
        <w:rPr>
          <w:rFonts w:ascii="DeVinne" w:hAnsi="DeVinne" w:cs="DeVinne"/>
          <w:color w:val="000000"/>
          <w:sz w:val="21"/>
          <w:szCs w:val="21"/>
        </w:rPr>
        <w:t>N GENERAL</w:t>
      </w:r>
      <w:r>
        <w:rPr>
          <w:rFonts w:ascii="DeVinne" w:hAnsi="DeVinne" w:cs="DeVinne"/>
          <w:color w:val="000000"/>
          <w:sz w:val="28"/>
          <w:szCs w:val="28"/>
        </w:rPr>
        <w:t xml:space="preserve">.—The Performance Improvement Officer for </w:t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each agency shall establish customer service standards in </w:t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accordance with the Government-wide standards developed under </w:t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subsection (a), which shall be included in the Agency Performance </w:t>
      </w:r>
      <w:r>
        <w:rPr>
          <w:rFonts w:ascii="DeVinne" w:hAnsi="DeVinne" w:cs="DeVinne"/>
          <w:color w:val="000000"/>
          <w:sz w:val="28"/>
          <w:szCs w:val="28"/>
        </w:rPr>
        <w:tab/>
        <w:t>Plans required under section 1115 of title 31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,United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States Code.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(2) R</w:t>
      </w:r>
      <w:r>
        <w:rPr>
          <w:rFonts w:ascii="DeVinne" w:hAnsi="DeVinne" w:cs="DeVinne"/>
          <w:color w:val="000000"/>
          <w:sz w:val="21"/>
          <w:szCs w:val="21"/>
        </w:rPr>
        <w:t>EQUIREMENTS</w:t>
      </w:r>
      <w:r>
        <w:rPr>
          <w:rFonts w:ascii="DeVinne" w:hAnsi="DeVinne" w:cs="DeVinne"/>
          <w:color w:val="000000"/>
          <w:sz w:val="28"/>
          <w:szCs w:val="28"/>
        </w:rPr>
        <w:t xml:space="preserve">.—Agency standards established under </w:t>
      </w:r>
      <w:r>
        <w:rPr>
          <w:rFonts w:ascii="DeVinne" w:hAnsi="DeVinne" w:cs="DeVinne"/>
          <w:color w:val="000000"/>
          <w:sz w:val="28"/>
          <w:szCs w:val="28"/>
        </w:rPr>
        <w:tab/>
        <w:t>paragraph (1) shall include, if appropriate—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 xml:space="preserve">(A)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target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call wait times during peak and non-peak hours;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(B)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target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response times for correspondence, both by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mail and electronic mail;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(C)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procedures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for ensuring all applicable metrics are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incorporated into service agreements with nongovernmental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individuals and entities;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(D)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target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response times for processing benefits and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making payments; and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(E)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recommendations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for effective publication of customer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service contact information, including a mailing address,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telephone number, and email address.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  <w:t>(c) C</w:t>
      </w:r>
      <w:r>
        <w:rPr>
          <w:rFonts w:ascii="DeVinne" w:hAnsi="DeVinne" w:cs="DeVinne"/>
          <w:color w:val="000000"/>
          <w:sz w:val="21"/>
          <w:szCs w:val="21"/>
        </w:rPr>
        <w:t xml:space="preserve">USTOMER </w:t>
      </w:r>
      <w:r>
        <w:rPr>
          <w:rFonts w:ascii="DeVinne" w:hAnsi="DeVinne" w:cs="DeVinne"/>
          <w:color w:val="000000"/>
          <w:sz w:val="28"/>
          <w:szCs w:val="28"/>
        </w:rPr>
        <w:t>S</w:t>
      </w:r>
      <w:r>
        <w:rPr>
          <w:rFonts w:ascii="DeVinne" w:hAnsi="DeVinne" w:cs="DeVinne"/>
          <w:color w:val="000000"/>
          <w:sz w:val="21"/>
          <w:szCs w:val="21"/>
        </w:rPr>
        <w:t xml:space="preserve">ERVICE </w:t>
      </w:r>
      <w:r>
        <w:rPr>
          <w:rFonts w:ascii="DeVinne" w:hAnsi="DeVinne" w:cs="DeVinne"/>
          <w:color w:val="000000"/>
          <w:sz w:val="28"/>
          <w:szCs w:val="28"/>
        </w:rPr>
        <w:t xml:space="preserve">Feedback Pilot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Program.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>—</w:t>
      </w:r>
    </w:p>
    <w:p w:rsidR="004B4A4F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(1) Establishment.—</w:t>
      </w:r>
      <w:proofErr w:type="gramStart"/>
      <w:r w:rsidR="004B4A4F"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 w:rsidR="004B4A4F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 xml:space="preserve">Director of the Office of Management </w:t>
      </w:r>
      <w:r w:rsidR="004B4A4F"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>and Budget shall</w:t>
      </w:r>
      <w:r w:rsidR="004B4A4F">
        <w:rPr>
          <w:rFonts w:ascii="DeVinne" w:hAnsi="DeVinne" w:cs="DeVinne"/>
          <w:color w:val="000000"/>
          <w:sz w:val="28"/>
          <w:szCs w:val="28"/>
        </w:rPr>
        <w:t xml:space="preserve"> establish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4B4A4F">
        <w:rPr>
          <w:rFonts w:ascii="DeVinne" w:hAnsi="DeVinne" w:cs="DeVinne"/>
          <w:color w:val="000000"/>
          <w:sz w:val="28"/>
          <w:szCs w:val="28"/>
        </w:rPr>
        <w:t xml:space="preserve">a Customer Service Feedback Pilot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Program. The pilot program shall include participation by the Internal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Revenue Service, and a minimum of two agencies selected by the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Director and shall continue for a period of at least three years. The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Director shall require participating agencies to implement a customer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service feedback system to collect information from customers of the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 xml:space="preserve">agency regarding the quality of customer service provided by the </w:t>
      </w:r>
      <w:r w:rsidR="004B4A4F">
        <w:rPr>
          <w:rFonts w:ascii="DeVinne" w:hAnsi="DeVinne" w:cs="DeVinne"/>
          <w:color w:val="000000"/>
          <w:sz w:val="28"/>
          <w:szCs w:val="28"/>
        </w:rPr>
        <w:tab/>
        <w:t>agency, including –</w:t>
      </w:r>
    </w:p>
    <w:p w:rsidR="004B4A4F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(A) </w:t>
      </w:r>
      <w:proofErr w:type="gramStart"/>
      <w:r>
        <w:rPr>
          <w:rFonts w:ascii="DeVinne" w:hAnsi="DeVinne" w:cs="DeVinne"/>
          <w:color w:val="000000"/>
          <w:sz w:val="28"/>
          <w:szCs w:val="28"/>
        </w:rPr>
        <w:t>information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on the extent to which agency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performance complies with the Government-wide standards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>developed under subsection (a); and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(B)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feedback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on the quality of customer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service provided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by the agency employee or employees with whom the customer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interacted.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(2) L</w:t>
      </w:r>
      <w:r w:rsidR="003C06B6">
        <w:rPr>
          <w:rFonts w:ascii="DeVinne" w:hAnsi="DeVinne" w:cs="DeVinne"/>
          <w:color w:val="000000"/>
          <w:sz w:val="21"/>
          <w:szCs w:val="21"/>
        </w:rPr>
        <w:t>IMITATION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An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agency may use information collected under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the feedback system that is specific to a named employee only for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purposes of complying with section 4.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(3) In developing the performance report made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available by the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agency under section 1116 of title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31, United States Code, each </w:t>
      </w:r>
      <w:r>
        <w:rPr>
          <w:rFonts w:ascii="DeVinne" w:hAnsi="DeVinne" w:cs="DeVinne"/>
          <w:color w:val="000000"/>
          <w:sz w:val="28"/>
          <w:szCs w:val="28"/>
        </w:rPr>
        <w:lastRenderedPageBreak/>
        <w:tab/>
      </w:r>
      <w:r w:rsidR="003C06B6">
        <w:rPr>
          <w:rFonts w:ascii="DeVinne" w:hAnsi="DeVinne" w:cs="DeVinne"/>
          <w:color w:val="000000"/>
          <w:sz w:val="28"/>
          <w:szCs w:val="28"/>
        </w:rPr>
        <w:t>agency</w:t>
      </w:r>
      <w:r>
        <w:rPr>
          <w:rFonts w:ascii="DeVinne" w:hAnsi="DeVinne" w:cs="DeVinne"/>
          <w:color w:val="000000"/>
          <w:sz w:val="28"/>
          <w:szCs w:val="28"/>
        </w:rPr>
        <w:t xml:space="preserve"> participating in the customer service feedback pilot </w:t>
      </w:r>
      <w:r>
        <w:rPr>
          <w:rFonts w:ascii="DeVinne" w:hAnsi="DeVinne" w:cs="DeVinne"/>
          <w:color w:val="000000"/>
          <w:sz w:val="28"/>
          <w:szCs w:val="28"/>
        </w:rPr>
        <w:tab/>
        <w:t>program</w:t>
      </w:r>
      <w:r w:rsidR="003C06B6">
        <w:rPr>
          <w:rFonts w:ascii="DeVinne" w:hAnsi="DeVinne" w:cs="DeVinne"/>
          <w:color w:val="000000"/>
          <w:sz w:val="28"/>
          <w:szCs w:val="28"/>
        </w:rPr>
        <w:t>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(A)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shall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include the information collected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under this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subsection; and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(B)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may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include aggregate data collected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under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paragraph (1)(B) without including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names of specific agency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employees.</w:t>
      </w:r>
    </w:p>
    <w:p w:rsidR="004B4A4F" w:rsidRDefault="004B4A4F" w:rsidP="004B4A4F">
      <w:pPr>
        <w:autoSpaceDE w:val="0"/>
        <w:autoSpaceDN w:val="0"/>
        <w:adjustRightInd w:val="0"/>
        <w:rPr>
          <w:color w:val="1F497D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  <w:t xml:space="preserve">(4) Report to Congress on Customer Service Feedback Pilot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Pr="004B4A4F">
        <w:rPr>
          <w:rFonts w:ascii="DeVinne" w:hAnsi="DeVinne" w:cs="DeVinne"/>
          <w:sz w:val="28"/>
          <w:szCs w:val="28"/>
        </w:rPr>
        <w:t>Program.—</w:t>
      </w:r>
      <w:r w:rsidRPr="004B4A4F">
        <w:rPr>
          <w:rFonts w:ascii="DeVinne" w:hAnsi="DeVinne" w:cs="DeVinne"/>
          <w:sz w:val="28"/>
          <w:szCs w:val="28"/>
        </w:rPr>
        <w:tab/>
        <w:t xml:space="preserve"> </w:t>
      </w:r>
      <w:r w:rsidRPr="004B4A4F">
        <w:rPr>
          <w:rFonts w:ascii="DeVinne" w:hAnsi="DeVinne"/>
          <w:sz w:val="28"/>
          <w:szCs w:val="28"/>
        </w:rPr>
        <w:t>Not later than two years after the implementation of the customer service feedback pilot program established under this subsection, the Comptroller General shall submit to the Congress a report assessing the customer service feedback pilot program and a recommendation on whether such program should be expanded government-wide.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(d) A</w:t>
      </w:r>
      <w:r w:rsidR="003C06B6">
        <w:rPr>
          <w:rFonts w:ascii="DeVinne" w:hAnsi="DeVinne" w:cs="DeVinne"/>
          <w:color w:val="000000"/>
          <w:sz w:val="21"/>
          <w:szCs w:val="21"/>
        </w:rPr>
        <w:t xml:space="preserve">NNUAL </w:t>
      </w:r>
      <w:r w:rsidR="003C06B6">
        <w:rPr>
          <w:rFonts w:ascii="DeVinne" w:hAnsi="DeVinne" w:cs="DeVinne"/>
          <w:color w:val="000000"/>
          <w:sz w:val="28"/>
          <w:szCs w:val="28"/>
        </w:rPr>
        <w:t>P</w:t>
      </w:r>
      <w:r w:rsidR="003C06B6">
        <w:rPr>
          <w:rFonts w:ascii="DeVinne" w:hAnsi="DeVinne" w:cs="DeVinne"/>
          <w:color w:val="000000"/>
          <w:sz w:val="21"/>
          <w:szCs w:val="21"/>
        </w:rPr>
        <w:t xml:space="preserve">ERFORMANCE </w:t>
      </w:r>
      <w:r w:rsidR="003C06B6">
        <w:rPr>
          <w:rFonts w:ascii="DeVinne" w:hAnsi="DeVinne" w:cs="DeVinne"/>
          <w:color w:val="000000"/>
          <w:sz w:val="28"/>
          <w:szCs w:val="28"/>
        </w:rPr>
        <w:t>U</w:t>
      </w:r>
      <w:r w:rsidR="003C06B6">
        <w:rPr>
          <w:rFonts w:ascii="DeVinne" w:hAnsi="DeVinne" w:cs="DeVinne"/>
          <w:color w:val="000000"/>
          <w:sz w:val="21"/>
          <w:szCs w:val="21"/>
        </w:rPr>
        <w:t>PDATE</w:t>
      </w:r>
      <w:r w:rsidR="003C06B6">
        <w:rPr>
          <w:rFonts w:ascii="DeVinne" w:hAnsi="DeVinne" w:cs="DeVinne"/>
          <w:color w:val="000000"/>
          <w:sz w:val="28"/>
          <w:szCs w:val="28"/>
        </w:rPr>
        <w:t>.—The Director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of the Office of Management and Budget shall include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achievements by agencies in meeting the customer service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performance standards developed under subsection (a) in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each update on agency performance required under section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1116 of title 31, United States Code.</w:t>
      </w:r>
    </w:p>
    <w:p w:rsidR="004B4A4F" w:rsidRDefault="004B4A4F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4.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PERFORMANCE</w:t>
      </w:r>
      <w:r w:rsidR="004B4A4F"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A</w:t>
      </w:r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PPRAISAL.</w:t>
      </w:r>
      <w:proofErr w:type="gramEnd"/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Compliance with customer service standards deve</w:t>
      </w:r>
      <w:r>
        <w:rPr>
          <w:rFonts w:ascii="DeVinne" w:hAnsi="DeVinne" w:cs="DeVinne"/>
          <w:color w:val="000000"/>
          <w:sz w:val="28"/>
          <w:szCs w:val="28"/>
        </w:rPr>
        <w:t>l</w:t>
      </w:r>
      <w:r w:rsidR="003C06B6">
        <w:rPr>
          <w:rFonts w:ascii="DeVinne" w:hAnsi="DeVinne" w:cs="DeVinne"/>
          <w:color w:val="000000"/>
          <w:sz w:val="28"/>
          <w:szCs w:val="28"/>
        </w:rPr>
        <w:t>oped under this Act shall be included in employee appraisal systems establish by agencies, including the performance appraisal systems referred to in chapter 43 of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8 </w:t>
      </w:r>
      <w:r>
        <w:rPr>
          <w:rFonts w:ascii="DeVinne" w:hAnsi="DeVinne" w:cs="DeVinne"/>
          <w:color w:val="000000"/>
          <w:sz w:val="28"/>
          <w:szCs w:val="28"/>
        </w:rPr>
        <w:t>title 5, United States Code.</w:t>
      </w:r>
    </w:p>
    <w:p w:rsidR="004B4A4F" w:rsidRDefault="004B4A4F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5.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SERVICE IMPROVEMENT UNIT PILOT PROGRAM.</w:t>
      </w:r>
    </w:p>
    <w:p w:rsidR="003C06B6" w:rsidRDefault="004B4A4F" w:rsidP="003C06B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(a) E</w:t>
      </w:r>
      <w:r w:rsidR="003C06B6">
        <w:rPr>
          <w:rFonts w:ascii="DeVinne" w:hAnsi="DeVinne" w:cs="DeVinne"/>
          <w:color w:val="000000"/>
          <w:sz w:val="21"/>
          <w:szCs w:val="21"/>
        </w:rPr>
        <w:t>STABLISHED</w:t>
      </w:r>
      <w:r w:rsidR="003C06B6">
        <w:rPr>
          <w:rFonts w:ascii="DeVinne" w:hAnsi="DeVinne" w:cs="DeVinne"/>
          <w:color w:val="000000"/>
          <w:sz w:val="28"/>
          <w:szCs w:val="28"/>
        </w:rPr>
        <w:t>.—The Director of the Office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Management and Budget shall establish a pilot program,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to be known as the Service Improvement Unit Pilot Program (in this section referred to as the ‘‘pilot program’’),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to provide assistance to agencies that do not meet the Gov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proofErr w:type="gramStart"/>
      <w:r>
        <w:rPr>
          <w:rFonts w:ascii="DeVinne" w:hAnsi="DeVinne" w:cs="DeVinne"/>
          <w:color w:val="000000"/>
          <w:sz w:val="28"/>
          <w:szCs w:val="28"/>
        </w:rPr>
        <w:t>ernment-wide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standards developed under section 3.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(b) P</w:t>
      </w:r>
      <w:r w:rsidR="003C06B6">
        <w:rPr>
          <w:rFonts w:ascii="DeVinne" w:hAnsi="DeVinne" w:cs="DeVinne"/>
          <w:color w:val="000000"/>
          <w:sz w:val="21"/>
          <w:szCs w:val="21"/>
        </w:rPr>
        <w:t>ERSONNEL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heads of agencies with expertise in change management, process improvement, and information technology innovation shall detail employees to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the Office of Management and Budget to work on the pilot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program, based on the expertise and skills required to address service improvement goals.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(c) R</w:t>
      </w:r>
      <w:r w:rsidR="003C06B6">
        <w:rPr>
          <w:rFonts w:ascii="DeVinne" w:hAnsi="DeVinne" w:cs="DeVinne"/>
          <w:color w:val="000000"/>
          <w:sz w:val="21"/>
          <w:szCs w:val="21"/>
        </w:rPr>
        <w:t>ESPONSIBILITIES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Under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the pilot program,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the Office of </w:t>
      </w:r>
      <w:r>
        <w:rPr>
          <w:rFonts w:ascii="DeVinne" w:hAnsi="DeVinne" w:cs="DeVinne"/>
          <w:color w:val="000000"/>
          <w:sz w:val="28"/>
          <w:szCs w:val="28"/>
        </w:rPr>
        <w:t>M</w:t>
      </w:r>
      <w:r w:rsidR="003C06B6">
        <w:rPr>
          <w:rFonts w:ascii="DeVinne" w:hAnsi="DeVinne" w:cs="DeVinne"/>
          <w:color w:val="000000"/>
          <w:sz w:val="28"/>
          <w:szCs w:val="28"/>
        </w:rPr>
        <w:t>anagement and Budget shall work with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agencies that are not meeting the customer service standards developed under section 3 to improve and modernize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service delivery to develop solutions, including—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lastRenderedPageBreak/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(1)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evaluating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the efforts of the agency to improve service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delivery;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(2)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developing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a plan to improve within existing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resources and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by drawing on expertise and assistance from other agencies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(including the Office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Management and Budget) where necessary;</w:t>
      </w:r>
    </w:p>
    <w:p w:rsidR="004B4A4F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(3)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monitoring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implementation by the agency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the plan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developed under paragraph (2) until the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customer service standards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are met; and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(4)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submitting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to the Director of the Office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Management and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Budget monthly reports on the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progress being made to improve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service at the agency until the customer service standards are met.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(d) R</w:t>
      </w:r>
      <w:r w:rsidR="003C06B6">
        <w:rPr>
          <w:rFonts w:ascii="DeVinne" w:hAnsi="DeVinne" w:cs="DeVinne"/>
          <w:color w:val="000000"/>
          <w:sz w:val="21"/>
          <w:szCs w:val="21"/>
        </w:rPr>
        <w:t>EPORT</w:t>
      </w:r>
      <w:r w:rsidR="003C06B6">
        <w:rPr>
          <w:rFonts w:ascii="DeVinne" w:hAnsi="DeVinne" w:cs="DeVinne"/>
          <w:color w:val="000000"/>
          <w:sz w:val="28"/>
          <w:szCs w:val="28"/>
        </w:rPr>
        <w:t>.—Not later than 2 years after the date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of enactment of this Act, the Director of the Office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Management and Budget shall submit to Congress a report on the accomplishments and outcomes of the pilot</w:t>
      </w:r>
      <w:r w:rsidR="003C06B6"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program and any recommendations relating to achieving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the customer service standards developed under section 3.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(e) S</w:t>
      </w:r>
      <w:r w:rsidR="003C06B6">
        <w:rPr>
          <w:rFonts w:ascii="DeVinne" w:hAnsi="DeVinne" w:cs="DeVinne"/>
          <w:color w:val="000000"/>
          <w:sz w:val="21"/>
          <w:szCs w:val="21"/>
        </w:rPr>
        <w:t>UPPORT</w:t>
      </w:r>
      <w:r w:rsidR="003C06B6">
        <w:rPr>
          <w:rFonts w:ascii="DeVinne" w:hAnsi="DeVinne" w:cs="DeVinne"/>
          <w:color w:val="000000"/>
          <w:sz w:val="28"/>
          <w:szCs w:val="28"/>
        </w:rPr>
        <w:t>.—The Administrator of General Services shall provide administrative and other support in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order to implement the pilot program under this section.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The heads of agencies shall, as appropriate and to the extent permitted by law, provide at the request of the Director of the Office of Management and Budget up to 2 personnel authorizations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who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have expertise in change management, process improvement, and information technology innovation to support the pilot program.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(f) T</w:t>
      </w:r>
      <w:r w:rsidR="003C06B6">
        <w:rPr>
          <w:rFonts w:ascii="DeVinne" w:hAnsi="DeVinne" w:cs="DeVinne"/>
          <w:color w:val="000000"/>
          <w:sz w:val="21"/>
          <w:szCs w:val="21"/>
        </w:rPr>
        <w:t>ERMINATION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authority to carry out the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pilot program shall terminate 2 years after the date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enactment of this Act.</w:t>
      </w:r>
    </w:p>
    <w:p w:rsidR="004B4A4F" w:rsidRDefault="004B4A4F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6.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RETIREMENT REPORTING.</w:t>
      </w:r>
      <w:proofErr w:type="gramEnd"/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(a) D</w:t>
      </w:r>
      <w:r w:rsidR="003C06B6">
        <w:rPr>
          <w:rFonts w:ascii="DeVinne" w:hAnsi="DeVinne" w:cs="DeVinne"/>
          <w:color w:val="000000"/>
          <w:sz w:val="21"/>
          <w:szCs w:val="21"/>
        </w:rPr>
        <w:t>EFINITION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In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this section, the term ‘‘agency’’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has the meaning given that term in section 551 of title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5, United States Code.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(b) R</w:t>
      </w:r>
      <w:r w:rsidR="003C06B6">
        <w:rPr>
          <w:rFonts w:ascii="DeVinne" w:hAnsi="DeVinne" w:cs="DeVinne"/>
          <w:color w:val="000000"/>
          <w:sz w:val="21"/>
          <w:szCs w:val="21"/>
        </w:rPr>
        <w:t>EPORTS</w:t>
      </w:r>
      <w:r w:rsidR="003C06B6">
        <w:rPr>
          <w:rFonts w:ascii="DeVinne" w:hAnsi="DeVinne" w:cs="DeVinne"/>
          <w:color w:val="000000"/>
          <w:sz w:val="28"/>
          <w:szCs w:val="28"/>
        </w:rPr>
        <w:t>.—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(1) I</w:t>
      </w:r>
      <w:r w:rsidR="003C06B6">
        <w:rPr>
          <w:rFonts w:ascii="DeVinne" w:hAnsi="DeVinne" w:cs="DeVinne"/>
          <w:color w:val="000000"/>
          <w:sz w:val="21"/>
          <w:szCs w:val="21"/>
        </w:rPr>
        <w:t>N GENERAL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.—Except as provided in paragraph (2) and not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later than 90 days after the date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of enactment of this Act, and every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month thereafter, the Director of the Office of Personnel Management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shall submit to Congress and the Comptroller General of the United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States, and issue publicly (including on the website of the Office of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Personnel Management), a report that—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(A)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for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each agency, evaluates the timeliness,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completeness, and accuracy of information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submitted by the agency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relating to employees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of the agency who are retiring; and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(B)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indicates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>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lastRenderedPageBreak/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ab/>
        <w:t>(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i)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total number of applications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for retirement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benefits, lump sum death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benefits, court ordered benefits,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phased retirement, and disability retirement that are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pending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action by the Office of Personnel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Management;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and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(ii) 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 xml:space="preserve"> number of months each such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application has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been pending.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(2) S</w:t>
      </w:r>
      <w:r w:rsidR="003C06B6">
        <w:rPr>
          <w:rFonts w:ascii="DeVinne" w:hAnsi="DeVinne" w:cs="DeVinne"/>
          <w:color w:val="000000"/>
          <w:sz w:val="21"/>
          <w:szCs w:val="21"/>
        </w:rPr>
        <w:t>USPENSION OF REPORTING REQUIREMENT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.—Paragraph (1) shall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not apply to the Director of the Office of Personnel Management for </w:t>
      </w: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any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month immediately following an 18-month period in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which there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are no applications described in paragraph (1)(B) that have been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pending</w:t>
      </w:r>
      <w:r>
        <w:rPr>
          <w:rFonts w:ascii="DeVinne" w:hAnsi="DeVinne" w:cs="DeVinne"/>
          <w:color w:val="000000"/>
          <w:sz w:val="28"/>
          <w:szCs w:val="28"/>
        </w:rPr>
        <w:t>, on average,</w:t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 for more than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90 days.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</w:t>
      </w:r>
      <w:proofErr w:type="gramStart"/>
      <w:r w:rsidR="003C06B6">
        <w:rPr>
          <w:rFonts w:ascii="DeVinne" w:hAnsi="DeVinne" w:cs="DeVinne"/>
          <w:color w:val="000000"/>
          <w:sz w:val="28"/>
          <w:szCs w:val="28"/>
        </w:rPr>
        <w:t>c</w:t>
      </w:r>
      <w:proofErr w:type="gramEnd"/>
      <w:r w:rsidR="003C06B6">
        <w:rPr>
          <w:rFonts w:ascii="DeVinne" w:hAnsi="DeVinne" w:cs="DeVinne"/>
          <w:color w:val="000000"/>
          <w:sz w:val="28"/>
          <w:szCs w:val="28"/>
        </w:rPr>
        <w:t>) M</w:t>
      </w:r>
      <w:r w:rsidR="003C06B6">
        <w:rPr>
          <w:rFonts w:ascii="DeVinne" w:hAnsi="DeVinne" w:cs="DeVinne"/>
          <w:color w:val="000000"/>
          <w:sz w:val="21"/>
          <w:szCs w:val="21"/>
        </w:rPr>
        <w:t xml:space="preserve">ODERNIZATION </w:t>
      </w:r>
      <w:r w:rsidR="003C06B6">
        <w:rPr>
          <w:rFonts w:ascii="DeVinne" w:hAnsi="DeVinne" w:cs="DeVinne"/>
          <w:color w:val="000000"/>
          <w:sz w:val="28"/>
          <w:szCs w:val="28"/>
        </w:rPr>
        <w:t>T</w:t>
      </w:r>
      <w:r w:rsidR="003C06B6">
        <w:rPr>
          <w:rFonts w:ascii="DeVinne" w:hAnsi="DeVinne" w:cs="DeVinne"/>
          <w:color w:val="000000"/>
          <w:sz w:val="21"/>
          <w:szCs w:val="21"/>
        </w:rPr>
        <w:t>IMELINE</w:t>
      </w:r>
      <w:r w:rsidR="003C06B6">
        <w:rPr>
          <w:rFonts w:ascii="DeVinne" w:hAnsi="DeVinne" w:cs="DeVinne"/>
          <w:color w:val="000000"/>
          <w:sz w:val="28"/>
          <w:szCs w:val="28"/>
        </w:rPr>
        <w:t>.—The Director of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the Office of Personnel Management shall establish—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(1) a timetable for the completion of each component of the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customer-focused retirement processing system of the Office of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Personnel Management, including all data elements required for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accurate completion of adjudication; and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(2) the date by which all Federal payroll processing entities will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 xml:space="preserve">electronically transmit all personnel data to the Office of Personnel </w:t>
      </w: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Management.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(d) B</w:t>
      </w:r>
      <w:r w:rsidR="003C06B6">
        <w:rPr>
          <w:rFonts w:ascii="DeVinne" w:hAnsi="DeVinne" w:cs="DeVinne"/>
          <w:color w:val="000000"/>
          <w:sz w:val="21"/>
          <w:szCs w:val="21"/>
        </w:rPr>
        <w:t xml:space="preserve">UDGET </w:t>
      </w:r>
      <w:r w:rsidR="003C06B6">
        <w:rPr>
          <w:rFonts w:ascii="DeVinne" w:hAnsi="DeVinne" w:cs="DeVinne"/>
          <w:color w:val="000000"/>
          <w:sz w:val="28"/>
          <w:szCs w:val="28"/>
        </w:rPr>
        <w:t>R</w:t>
      </w:r>
      <w:r w:rsidR="003C06B6">
        <w:rPr>
          <w:rFonts w:ascii="DeVinne" w:hAnsi="DeVinne" w:cs="DeVinne"/>
          <w:color w:val="000000"/>
          <w:sz w:val="21"/>
          <w:szCs w:val="21"/>
        </w:rPr>
        <w:t>EQUEST</w:t>
      </w:r>
      <w:r w:rsidR="003C06B6">
        <w:rPr>
          <w:rFonts w:ascii="DeVinne" w:hAnsi="DeVinne" w:cs="DeVinne"/>
          <w:color w:val="000000"/>
          <w:sz w:val="28"/>
          <w:szCs w:val="28"/>
        </w:rPr>
        <w:t>.—The Office of Personnel</w:t>
      </w:r>
      <w:r w:rsidR="003C06B6"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Management shall include a detailed statement regarding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the progress of the Office of Personnel Management in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completing the customer-focused retirement processing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system of the Office of Personnel Management in each</w:t>
      </w:r>
    </w:p>
    <w:p w:rsidR="003C06B6" w:rsidRDefault="003C06B6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proofErr w:type="gramStart"/>
      <w:r>
        <w:rPr>
          <w:rFonts w:ascii="DeVinne" w:hAnsi="DeVinne" w:cs="DeVinne"/>
          <w:color w:val="000000"/>
          <w:sz w:val="28"/>
          <w:szCs w:val="28"/>
        </w:rPr>
        <w:t>budget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request of the Office of Personnel Management</w:t>
      </w:r>
      <w:r w:rsidR="004B4A4F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>submitted as part of the preparation of the budget of the</w:t>
      </w:r>
      <w:r w:rsidR="004B4A4F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>President submitted to Congress under section 1105(a) of</w:t>
      </w:r>
      <w:r w:rsidR="004B4A4F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>title 31, United States Code.</w:t>
      </w:r>
    </w:p>
    <w:p w:rsidR="004B4A4F" w:rsidRDefault="004B4A4F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</w:p>
    <w:p w:rsidR="003C06B6" w:rsidRDefault="003C06B6" w:rsidP="003C06B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SEC. 7.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NO INCREASE IN EXPENDITURES.</w:t>
      </w:r>
    </w:p>
    <w:p w:rsidR="003C06B6" w:rsidRDefault="004B4A4F" w:rsidP="003C06B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ab/>
      </w:r>
      <w:r w:rsidR="003C06B6">
        <w:rPr>
          <w:rFonts w:ascii="DeVinne" w:hAnsi="DeVinne" w:cs="DeVinne"/>
          <w:color w:val="000000"/>
          <w:sz w:val="28"/>
          <w:szCs w:val="28"/>
        </w:rPr>
        <w:t>No additional funds are authorized to carry out this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Act. This Act shall be carried out using amounts otherwise</w:t>
      </w:r>
      <w:r>
        <w:rPr>
          <w:rFonts w:ascii="DeVinne" w:hAnsi="DeVinne" w:cs="DeVinne"/>
          <w:color w:val="000000"/>
          <w:sz w:val="28"/>
          <w:szCs w:val="28"/>
        </w:rPr>
        <w:t xml:space="preserve"> </w:t>
      </w:r>
      <w:r w:rsidR="003C06B6">
        <w:rPr>
          <w:rFonts w:ascii="DeVinne" w:hAnsi="DeVinne" w:cs="DeVinne"/>
          <w:color w:val="000000"/>
          <w:sz w:val="28"/>
          <w:szCs w:val="28"/>
        </w:rPr>
        <w:t>authorized or appropriated.</w:t>
      </w:r>
    </w:p>
    <w:sectPr w:rsidR="003C06B6" w:rsidSect="00D6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C06B6"/>
    <w:rsid w:val="003C06B6"/>
    <w:rsid w:val="004743F1"/>
    <w:rsid w:val="004B4A4F"/>
    <w:rsid w:val="00B20D9E"/>
    <w:rsid w:val="00D6518A"/>
    <w:rsid w:val="00ED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B6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JHemingway</dc:creator>
  <cp:lastModifiedBy>MBoyl</cp:lastModifiedBy>
  <cp:revision>2</cp:revision>
  <dcterms:created xsi:type="dcterms:W3CDTF">2013-07-23T13:47:00Z</dcterms:created>
  <dcterms:modified xsi:type="dcterms:W3CDTF">2013-07-23T13:47:00Z</dcterms:modified>
</cp:coreProperties>
</file>